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eastAsia="zh-CN"/>
        </w:rPr>
      </w:pPr>
      <w:r>
        <w:rPr>
          <w:rFonts w:ascii="宋体" w:hAnsi="宋体" w:eastAsia="宋体" w:cs="宋体"/>
          <w:b/>
          <w:bCs/>
          <w:sz w:val="32"/>
          <w:szCs w:val="32"/>
        </w:rPr>
        <w:t>包头瑞鑫稀土金属材料股份有限公司2019年4月份石墨槽体采购项目</w:t>
      </w:r>
      <w:r>
        <w:rPr>
          <w:rFonts w:hint="eastAsia" w:ascii="宋体" w:hAnsi="宋体" w:eastAsia="宋体" w:cs="宋体"/>
          <w:b/>
          <w:bCs/>
          <w:sz w:val="32"/>
          <w:szCs w:val="32"/>
          <w:lang w:eastAsia="zh-CN"/>
        </w:rPr>
        <w:t>网上竞价公告</w:t>
      </w:r>
    </w:p>
    <w:p>
      <w:pPr>
        <w:pStyle w:val="6"/>
      </w:pPr>
      <w:r>
        <w:t>窗体顶端</w:t>
      </w:r>
    </w:p>
    <w:tbl>
      <w:tblPr>
        <w:tblW w:w="8393" w:type="dxa"/>
        <w:tblCellSpacing w:w="7" w:type="dxa"/>
        <w:tblInd w:w="0" w:type="dxa"/>
        <w:shd w:val="clear"/>
        <w:tblLayout w:type="fixed"/>
        <w:tblCellMar>
          <w:top w:w="15" w:type="dxa"/>
          <w:left w:w="15" w:type="dxa"/>
          <w:bottom w:w="15" w:type="dxa"/>
          <w:right w:w="15" w:type="dxa"/>
        </w:tblCellMar>
      </w:tblPr>
      <w:tblGrid>
        <w:gridCol w:w="785"/>
        <w:gridCol w:w="7499"/>
        <w:gridCol w:w="6"/>
        <w:gridCol w:w="8"/>
        <w:gridCol w:w="95"/>
      </w:tblGrid>
      <w:tr>
        <w:tblPrEx>
          <w:shd w:val="clear"/>
          <w:tblLayout w:type="fixed"/>
          <w:tblCellMar>
            <w:top w:w="15" w:type="dxa"/>
            <w:left w:w="15" w:type="dxa"/>
            <w:bottom w:w="15" w:type="dxa"/>
            <w:right w:w="15" w:type="dxa"/>
          </w:tblCellMar>
        </w:tblPrEx>
        <w:trPr>
          <w:gridAfter w:val="1"/>
          <w:wAfter w:w="95" w:type="dxa"/>
          <w:tblCellSpacing w:w="7" w:type="dxa"/>
        </w:trPr>
        <w:tc>
          <w:tcPr>
            <w:tcW w:w="8268" w:type="dxa"/>
            <w:gridSpan w:val="4"/>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1.项目条件 </w:t>
            </w:r>
          </w:p>
        </w:tc>
      </w:tr>
      <w:tr>
        <w:tblPrEx>
          <w:tblLayout w:type="fixed"/>
          <w:tblCellMar>
            <w:top w:w="15" w:type="dxa"/>
            <w:left w:w="15" w:type="dxa"/>
            <w:bottom w:w="15" w:type="dxa"/>
            <w:right w:w="15" w:type="dxa"/>
          </w:tblCellMar>
        </w:tblPrEx>
        <w:trPr>
          <w:gridAfter w:val="1"/>
          <w:wAfter w:w="95" w:type="dxa"/>
          <w:tblCellSpacing w:w="7" w:type="dxa"/>
        </w:trPr>
        <w:tc>
          <w:tcPr>
            <w:tcW w:w="764"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     </w:t>
            </w:r>
          </w:p>
        </w:tc>
        <w:tc>
          <w:tcPr>
            <w:tcW w:w="7492" w:type="dxa"/>
            <w:gridSpan w:val="3"/>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包头市必得招标有限公司受包头瑞鑫稀土金属材料股份有限公司委托，对2019年4月份石墨槽体采购项目采用网上竞价的方式进行采购。现邀请符合条件的供应商参加，有关事项公告如下：</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采购人：包头瑞鑫稀土金属材料股份有限公司。</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项目编号：XM19040053。</w:t>
            </w:r>
          </w:p>
        </w:tc>
      </w:tr>
      <w:tr>
        <w:tblPrEx>
          <w:tblLayout w:type="fixed"/>
          <w:tblCellMar>
            <w:top w:w="15" w:type="dxa"/>
            <w:left w:w="15" w:type="dxa"/>
            <w:bottom w:w="15" w:type="dxa"/>
            <w:right w:w="15" w:type="dxa"/>
          </w:tblCellMar>
        </w:tblPrEx>
        <w:trPr>
          <w:gridAfter w:val="1"/>
          <w:wAfter w:w="95" w:type="dxa"/>
          <w:tblCellSpacing w:w="7" w:type="dxa"/>
        </w:trPr>
        <w:tc>
          <w:tcPr>
            <w:tcW w:w="8268" w:type="dxa"/>
            <w:gridSpan w:val="4"/>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2.采购内容及采购预算 </w:t>
            </w:r>
          </w:p>
        </w:tc>
      </w:tr>
      <w:tr>
        <w:tblPrEx>
          <w:tblLayout w:type="fixed"/>
          <w:tblCellMar>
            <w:top w:w="15" w:type="dxa"/>
            <w:left w:w="15" w:type="dxa"/>
            <w:bottom w:w="15" w:type="dxa"/>
            <w:right w:w="15" w:type="dxa"/>
          </w:tblCellMar>
        </w:tblPrEx>
        <w:trPr>
          <w:gridAfter w:val="1"/>
          <w:wAfter w:w="95" w:type="dxa"/>
          <w:tblCellSpacing w:w="7" w:type="dxa"/>
        </w:trPr>
        <w:tc>
          <w:tcPr>
            <w:tcW w:w="764"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     </w:t>
            </w:r>
          </w:p>
        </w:tc>
        <w:tc>
          <w:tcPr>
            <w:tcW w:w="7492" w:type="dxa"/>
            <w:gridSpan w:val="3"/>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包头瑞鑫稀土金属材料股份有限公司2019年4月份石墨槽体采购项目 项目，内容如下，明细详见公告附表：</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供应商不得超过最高限价进行报价。</w:t>
            </w:r>
          </w:p>
        </w:tc>
      </w:tr>
      <w:tr>
        <w:tblPrEx>
          <w:tblLayout w:type="fixed"/>
          <w:tblCellMar>
            <w:top w:w="15" w:type="dxa"/>
            <w:left w:w="15" w:type="dxa"/>
            <w:bottom w:w="15" w:type="dxa"/>
            <w:right w:w="15" w:type="dxa"/>
          </w:tblCellMar>
        </w:tblPrEx>
        <w:trPr>
          <w:gridAfter w:val="2"/>
          <w:wAfter w:w="103" w:type="dxa"/>
          <w:tblCellSpacing w:w="7" w:type="dxa"/>
        </w:trPr>
        <w:tc>
          <w:tcPr>
            <w:tcW w:w="764"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     </w:t>
            </w:r>
          </w:p>
        </w:tc>
        <w:tc>
          <w:tcPr>
            <w:tcW w:w="7484" w:type="dxa"/>
            <w:gridSpan w:val="2"/>
            <w:shd w:val="clear"/>
            <w:vAlign w:val="center"/>
          </w:tcPr>
          <w:tbl>
            <w:tblPr>
              <w:tblW w:w="7343" w:type="dxa"/>
              <w:tblCellSpacing w:w="7"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376"/>
              <w:gridCol w:w="1644"/>
              <w:gridCol w:w="666"/>
              <w:gridCol w:w="1365"/>
              <w:gridCol w:w="1346"/>
              <w:gridCol w:w="913"/>
              <w:gridCol w:w="10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7" w:type="dxa"/>
              </w:trPr>
              <w:tc>
                <w:tcPr>
                  <w:tcW w:w="355"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标段</w:t>
                  </w:r>
                </w:p>
              </w:tc>
              <w:tc>
                <w:tcPr>
                  <w:tcW w:w="1632"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名称</w:t>
                  </w:r>
                </w:p>
              </w:tc>
              <w:tc>
                <w:tcPr>
                  <w:tcW w:w="654"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交货期</w:t>
                  </w:r>
                </w:p>
              </w:tc>
              <w:tc>
                <w:tcPr>
                  <w:tcW w:w="1353"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付款条件</w:t>
                  </w:r>
                </w:p>
              </w:tc>
              <w:tc>
                <w:tcPr>
                  <w:tcW w:w="1334"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最高限价</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（元）</w:t>
                  </w:r>
                </w:p>
              </w:tc>
              <w:tc>
                <w:tcPr>
                  <w:tcW w:w="901"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投标保证金</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（元）</w:t>
                  </w:r>
                </w:p>
              </w:tc>
              <w:tc>
                <w:tcPr>
                  <w:tcW w:w="1012"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355"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1</w:t>
                  </w:r>
                </w:p>
              </w:tc>
              <w:tc>
                <w:tcPr>
                  <w:tcW w:w="1632"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包头瑞鑫稀土金属材料股份有限公司2019年4月份石墨槽体采购项目</w:t>
                  </w:r>
                </w:p>
              </w:tc>
              <w:tc>
                <w:tcPr>
                  <w:tcW w:w="654"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按采购人指定时间交货</w:t>
                  </w:r>
                </w:p>
              </w:tc>
              <w:tc>
                <w:tcPr>
                  <w:tcW w:w="1353"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银行承兑，货到且发票到后以瑞鑫公司资金情况付款</w:t>
                  </w:r>
                </w:p>
              </w:tc>
              <w:tc>
                <w:tcPr>
                  <w:tcW w:w="1334" w:type="dxa"/>
                  <w:shd w:val="clear"/>
                  <w:vAlign w:val="center"/>
                </w:tcPr>
                <w:p>
                  <w:pPr>
                    <w:keepNext w:val="0"/>
                    <w:keepLines w:val="0"/>
                    <w:widowControl/>
                    <w:suppressLineNumbers w:val="0"/>
                    <w:jc w:val="right"/>
                    <w:rPr>
                      <w:sz w:val="18"/>
                      <w:szCs w:val="21"/>
                    </w:rPr>
                  </w:pPr>
                  <w:r>
                    <w:rPr>
                      <w:rFonts w:ascii="宋体" w:hAnsi="宋体" w:eastAsia="宋体" w:cs="宋体"/>
                      <w:kern w:val="0"/>
                      <w:sz w:val="21"/>
                      <w:szCs w:val="21"/>
                      <w:lang w:val="en-US" w:eastAsia="zh-CN" w:bidi="ar"/>
                    </w:rPr>
                    <w:t>383,600.00</w:t>
                  </w:r>
                </w:p>
              </w:tc>
              <w:tc>
                <w:tcPr>
                  <w:tcW w:w="901"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0.00</w:t>
                  </w:r>
                </w:p>
              </w:tc>
              <w:tc>
                <w:tcPr>
                  <w:tcW w:w="1012"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最高限价与投标报价均为含税13%价格</w:t>
                  </w:r>
                </w:p>
              </w:tc>
            </w:tr>
          </w:tbl>
          <w:p>
            <w:pPr>
              <w:jc w:val="left"/>
              <w:rPr>
                <w:sz w:val="16"/>
                <w:szCs w:val="16"/>
              </w:rPr>
            </w:pPr>
          </w:p>
        </w:tc>
      </w:tr>
      <w:tr>
        <w:tblPrEx>
          <w:tblLayout w:type="fixed"/>
          <w:tblCellMar>
            <w:top w:w="15" w:type="dxa"/>
            <w:left w:w="15" w:type="dxa"/>
            <w:bottom w:w="15" w:type="dxa"/>
            <w:right w:w="15" w:type="dxa"/>
          </w:tblCellMar>
        </w:tblPrEx>
        <w:trPr>
          <w:tblCellSpacing w:w="7" w:type="dxa"/>
        </w:trPr>
        <w:tc>
          <w:tcPr>
            <w:tcW w:w="8263" w:type="dxa"/>
            <w:gridSpan w:val="2"/>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3.供应商资格要求 </w:t>
            </w:r>
          </w:p>
        </w:tc>
        <w:tc>
          <w:tcPr>
            <w:tcW w:w="88" w:type="dxa"/>
            <w:gridSpan w:val="3"/>
            <w:shd w:val="clear"/>
            <w:vAlign w:val="center"/>
          </w:tcPr>
          <w:p>
            <w:pPr>
              <w:rPr>
                <w:rFonts w:hint="eastAsia" w:ascii="宋体"/>
                <w:sz w:val="21"/>
                <w:szCs w:val="21"/>
              </w:rPr>
            </w:pPr>
          </w:p>
        </w:tc>
      </w:tr>
      <w:tr>
        <w:tblPrEx>
          <w:tblLayout w:type="fixed"/>
          <w:tblCellMar>
            <w:top w:w="15" w:type="dxa"/>
            <w:left w:w="15" w:type="dxa"/>
            <w:bottom w:w="15" w:type="dxa"/>
            <w:right w:w="15" w:type="dxa"/>
          </w:tblCellMar>
        </w:tblPrEx>
        <w:trPr>
          <w:tblCellSpacing w:w="7" w:type="dxa"/>
        </w:trPr>
        <w:tc>
          <w:tcPr>
            <w:tcW w:w="764"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     </w:t>
            </w:r>
          </w:p>
        </w:tc>
        <w:tc>
          <w:tcPr>
            <w:tcW w:w="7487"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3.1供应商须为中华人民共和国注册的独立法人；</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3.2供应商为本项目产品的生产商或代理商；</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3.3供应商需具有2017年1月1日至今类似项目业绩（提供合同复印件）；</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3.4本项目不接受联合体参与报价。</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注意：1.以上要求均为报价前置条件，任意一项不满足，则不具备报名资格。</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2.以上需提供的资料（营业执照、业绩合同等）须在报价时上传至包钢电子招标投标交易平台。</w:t>
            </w:r>
          </w:p>
        </w:tc>
        <w:tc>
          <w:tcPr>
            <w:tcW w:w="88" w:type="dxa"/>
            <w:gridSpan w:val="3"/>
            <w:shd w:val="clear"/>
            <w:vAlign w:val="center"/>
          </w:tcPr>
          <w:p>
            <w:pPr>
              <w:rPr>
                <w:rFonts w:hint="eastAsia" w:ascii="宋体"/>
                <w:sz w:val="21"/>
                <w:szCs w:val="21"/>
              </w:rPr>
            </w:pPr>
          </w:p>
        </w:tc>
      </w:tr>
      <w:tr>
        <w:tblPrEx>
          <w:tblLayout w:type="fixed"/>
          <w:tblCellMar>
            <w:top w:w="15" w:type="dxa"/>
            <w:left w:w="15" w:type="dxa"/>
            <w:bottom w:w="15" w:type="dxa"/>
            <w:right w:w="15" w:type="dxa"/>
          </w:tblCellMar>
        </w:tblPrEx>
        <w:trPr>
          <w:tblCellSpacing w:w="7" w:type="dxa"/>
        </w:trPr>
        <w:tc>
          <w:tcPr>
            <w:tcW w:w="8263" w:type="dxa"/>
            <w:gridSpan w:val="2"/>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4.采购方式及组织安排 </w:t>
            </w:r>
          </w:p>
        </w:tc>
        <w:tc>
          <w:tcPr>
            <w:tcW w:w="88" w:type="dxa"/>
            <w:gridSpan w:val="3"/>
            <w:shd w:val="clear"/>
            <w:vAlign w:val="center"/>
          </w:tcPr>
          <w:p>
            <w:pPr>
              <w:rPr>
                <w:rFonts w:hint="eastAsia" w:ascii="宋体"/>
                <w:sz w:val="21"/>
                <w:szCs w:val="21"/>
              </w:rPr>
            </w:pPr>
          </w:p>
        </w:tc>
      </w:tr>
      <w:tr>
        <w:tblPrEx>
          <w:tblLayout w:type="fixed"/>
          <w:tblCellMar>
            <w:top w:w="15" w:type="dxa"/>
            <w:left w:w="15" w:type="dxa"/>
            <w:bottom w:w="15" w:type="dxa"/>
            <w:right w:w="15" w:type="dxa"/>
          </w:tblCellMar>
        </w:tblPrEx>
        <w:trPr>
          <w:tblCellSpacing w:w="7" w:type="dxa"/>
        </w:trPr>
        <w:tc>
          <w:tcPr>
            <w:tcW w:w="764"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     </w:t>
            </w:r>
          </w:p>
        </w:tc>
        <w:tc>
          <w:tcPr>
            <w:tcW w:w="7487" w:type="dxa"/>
            <w:shd w:val="clear"/>
            <w:vAlign w:val="center"/>
          </w:tcPr>
          <w:p>
            <w:pPr>
              <w:keepNext w:val="0"/>
              <w:keepLines w:val="0"/>
              <w:widowControl/>
              <w:suppressLineNumbers w:val="0"/>
              <w:jc w:val="left"/>
              <w:rPr>
                <w:rFonts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4.1采购方式：本次采购采用网上竞价方式确定成交供应商，有效报价最低者为成交供应商。</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4.2采购组织安排</w:t>
            </w:r>
          </w:p>
          <w:p>
            <w:pPr>
              <w:keepNext w:val="0"/>
              <w:keepLines w:val="0"/>
              <w:widowControl/>
              <w:suppressLineNumbers w:val="0"/>
              <w:jc w:val="left"/>
              <w:rPr>
                <w:sz w:val="18"/>
                <w:szCs w:val="21"/>
              </w:rPr>
            </w:pPr>
            <w:bookmarkStart w:id="0" w:name="_GoBack"/>
            <w:bookmarkEnd w:id="0"/>
            <w:r>
              <w:rPr>
                <w:rFonts w:ascii="宋体" w:hAnsi="宋体" w:eastAsia="宋体" w:cs="宋体"/>
                <w:kern w:val="0"/>
                <w:sz w:val="21"/>
                <w:szCs w:val="21"/>
                <w:lang w:val="en-US" w:eastAsia="zh-CN" w:bidi="ar"/>
              </w:rPr>
              <w:t xml:space="preserve"> 4.2.1供应商包钢电子招标投标交易平台（网址：http：//ep.btsteel.com）注册，进行网上报名。具体操作步骤请参照网站首页“供应商帮助”。若运营商网络无法解析包钢电子采购域名，请各客户端在本地电脑的目录文件C:\Windows\System32\drivers\etc\hosts内增加&lt; 1.30.21.204 ep.btsteel.com &gt;，保存即可。或者直接用IP地址登陆1.30.21.204）。供应商应在规定时间前将保证金汇至系统指定账户，并在规定时间内报价。至报名截止日，如果没有供应商参与报名并报价成功，则重新组织采购。</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xml:space="preserve">4.2.2网上报价时间：公布之日起至 2019/04/19 09:30:00 </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4.2.3网上报价时间截止时，如果只有一家供应商参与报名，交纳竞价保证金且报价有效，且供应商提交的报价低于采购限价，则该供应商为成交供应商；如果有2家及以上供应商参与报名、交纳竞价保证金并报价有效的，则按照有效报价最低的原则确定供应商。</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4.2.4本次采购按照总价进行网上竞价。</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4.2.5网上竞价为反向竞价，一次性报价，有效报价最低的供应商为成交供应商。</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4.2.6竞价完成后，由采购人对响应供应商资格进行审核。若不满足资格条件要求，其报价无效。采购人按照有效报价由低到高的排名顺序顺延确定成交供应商。</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4.2.7供应商须在限时网上竞价时间内进行报价（供应商可在任何有网络的场所进行报价，而无需在现场进行报价）。</w:t>
            </w:r>
          </w:p>
        </w:tc>
        <w:tc>
          <w:tcPr>
            <w:tcW w:w="88" w:type="dxa"/>
            <w:gridSpan w:val="3"/>
            <w:shd w:val="clear"/>
            <w:vAlign w:val="center"/>
          </w:tcPr>
          <w:p>
            <w:pPr>
              <w:rPr>
                <w:rFonts w:hint="eastAsia" w:ascii="宋体"/>
                <w:sz w:val="21"/>
                <w:szCs w:val="21"/>
              </w:rPr>
            </w:pPr>
          </w:p>
        </w:tc>
      </w:tr>
      <w:tr>
        <w:tblPrEx>
          <w:tblLayout w:type="fixed"/>
          <w:tblCellMar>
            <w:top w:w="15" w:type="dxa"/>
            <w:left w:w="15" w:type="dxa"/>
            <w:bottom w:w="15" w:type="dxa"/>
            <w:right w:w="15" w:type="dxa"/>
          </w:tblCellMar>
        </w:tblPrEx>
        <w:trPr>
          <w:tblCellSpacing w:w="7" w:type="dxa"/>
        </w:trPr>
        <w:tc>
          <w:tcPr>
            <w:tcW w:w="8263" w:type="dxa"/>
            <w:gridSpan w:val="2"/>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5.保证金 </w:t>
            </w:r>
          </w:p>
        </w:tc>
        <w:tc>
          <w:tcPr>
            <w:tcW w:w="88" w:type="dxa"/>
            <w:gridSpan w:val="3"/>
            <w:shd w:val="clear"/>
            <w:vAlign w:val="center"/>
          </w:tcPr>
          <w:p>
            <w:pPr>
              <w:rPr>
                <w:rFonts w:hint="eastAsia" w:ascii="宋体"/>
                <w:sz w:val="21"/>
                <w:szCs w:val="21"/>
              </w:rPr>
            </w:pPr>
          </w:p>
        </w:tc>
      </w:tr>
      <w:tr>
        <w:tblPrEx>
          <w:tblLayout w:type="fixed"/>
          <w:tblCellMar>
            <w:top w:w="15" w:type="dxa"/>
            <w:left w:w="15" w:type="dxa"/>
            <w:bottom w:w="15" w:type="dxa"/>
            <w:right w:w="15" w:type="dxa"/>
          </w:tblCellMar>
        </w:tblPrEx>
        <w:trPr>
          <w:tblCellSpacing w:w="7" w:type="dxa"/>
        </w:trPr>
        <w:tc>
          <w:tcPr>
            <w:tcW w:w="764"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     </w:t>
            </w:r>
          </w:p>
        </w:tc>
        <w:tc>
          <w:tcPr>
            <w:tcW w:w="7487"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5.1须登录包钢电子招标投标交易平台（ep.btsteel.com）进入保证金缴款作业界面，依据系统提供的银行子账号信息进行缴纳，缴费完成后可直接进行网上报价。保证金应从投标人基本账户转出。</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5.2若在招标中心办有暂存协议的，系统将不再生成银行子账号，可在平台上直接点击下一步进入网上报价界面进行报价。若协议金额不够的，可按系统提供的银行子账号进行补缴，缴纳成功后可点击下一步进行网上报价。</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xml:space="preserve">5.3若供应商在招标中心办有暂存协议但系统中提示未缴纳保证金不可以进行报价的，可电话联系张博（电话：0472-2189621/2189611）进行核实或确认。 </w:t>
            </w:r>
          </w:p>
        </w:tc>
        <w:tc>
          <w:tcPr>
            <w:tcW w:w="88" w:type="dxa"/>
            <w:gridSpan w:val="3"/>
            <w:shd w:val="clear"/>
            <w:vAlign w:val="center"/>
          </w:tcPr>
          <w:p>
            <w:pPr>
              <w:rPr>
                <w:rFonts w:hint="eastAsia" w:ascii="宋体"/>
                <w:sz w:val="21"/>
                <w:szCs w:val="21"/>
              </w:rPr>
            </w:pPr>
          </w:p>
        </w:tc>
      </w:tr>
      <w:tr>
        <w:tblPrEx>
          <w:tblLayout w:type="fixed"/>
          <w:tblCellMar>
            <w:top w:w="15" w:type="dxa"/>
            <w:left w:w="15" w:type="dxa"/>
            <w:bottom w:w="15" w:type="dxa"/>
            <w:right w:w="15" w:type="dxa"/>
          </w:tblCellMar>
        </w:tblPrEx>
        <w:trPr>
          <w:tblCellSpacing w:w="7" w:type="dxa"/>
        </w:trPr>
        <w:tc>
          <w:tcPr>
            <w:tcW w:w="8263" w:type="dxa"/>
            <w:gridSpan w:val="2"/>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7.公告发布媒介 </w:t>
            </w:r>
          </w:p>
        </w:tc>
        <w:tc>
          <w:tcPr>
            <w:tcW w:w="88" w:type="dxa"/>
            <w:gridSpan w:val="3"/>
            <w:shd w:val="clear"/>
            <w:vAlign w:val="center"/>
          </w:tcPr>
          <w:p>
            <w:pPr>
              <w:rPr>
                <w:rFonts w:hint="eastAsia" w:ascii="宋体"/>
                <w:sz w:val="21"/>
                <w:szCs w:val="21"/>
              </w:rPr>
            </w:pPr>
          </w:p>
        </w:tc>
      </w:tr>
      <w:tr>
        <w:tblPrEx>
          <w:tblLayout w:type="fixed"/>
          <w:tblCellMar>
            <w:top w:w="15" w:type="dxa"/>
            <w:left w:w="15" w:type="dxa"/>
            <w:bottom w:w="15" w:type="dxa"/>
            <w:right w:w="15" w:type="dxa"/>
          </w:tblCellMar>
        </w:tblPrEx>
        <w:trPr>
          <w:tblCellSpacing w:w="7" w:type="dxa"/>
        </w:trPr>
        <w:tc>
          <w:tcPr>
            <w:tcW w:w="764"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     </w:t>
            </w:r>
          </w:p>
        </w:tc>
        <w:tc>
          <w:tcPr>
            <w:tcW w:w="7487"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本次竞价公告同时在包头市必得招标有限公司门户网站（www.baotoubide.com）、包钢电子招标投标交易平台（ep.btsteel.com）。</w:t>
            </w:r>
          </w:p>
        </w:tc>
        <w:tc>
          <w:tcPr>
            <w:tcW w:w="88" w:type="dxa"/>
            <w:gridSpan w:val="3"/>
            <w:shd w:val="clear"/>
            <w:vAlign w:val="center"/>
          </w:tcPr>
          <w:p>
            <w:pPr>
              <w:rPr>
                <w:rFonts w:hint="eastAsia" w:ascii="宋体"/>
                <w:sz w:val="21"/>
                <w:szCs w:val="21"/>
              </w:rPr>
            </w:pPr>
          </w:p>
        </w:tc>
      </w:tr>
      <w:tr>
        <w:tblPrEx>
          <w:tblLayout w:type="fixed"/>
          <w:tblCellMar>
            <w:top w:w="15" w:type="dxa"/>
            <w:left w:w="15" w:type="dxa"/>
            <w:bottom w:w="15" w:type="dxa"/>
            <w:right w:w="15" w:type="dxa"/>
          </w:tblCellMar>
        </w:tblPrEx>
        <w:trPr>
          <w:tblCellSpacing w:w="7" w:type="dxa"/>
        </w:trPr>
        <w:tc>
          <w:tcPr>
            <w:tcW w:w="8263" w:type="dxa"/>
            <w:gridSpan w:val="2"/>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8.采购服务费 </w:t>
            </w:r>
          </w:p>
        </w:tc>
        <w:tc>
          <w:tcPr>
            <w:tcW w:w="88" w:type="dxa"/>
            <w:gridSpan w:val="3"/>
            <w:shd w:val="clear"/>
            <w:vAlign w:val="center"/>
          </w:tcPr>
          <w:p>
            <w:pPr>
              <w:rPr>
                <w:rFonts w:hint="eastAsia" w:ascii="宋体"/>
                <w:sz w:val="21"/>
                <w:szCs w:val="21"/>
              </w:rPr>
            </w:pPr>
          </w:p>
        </w:tc>
      </w:tr>
      <w:tr>
        <w:tblPrEx>
          <w:tblLayout w:type="fixed"/>
          <w:tblCellMar>
            <w:top w:w="15" w:type="dxa"/>
            <w:left w:w="15" w:type="dxa"/>
            <w:bottom w:w="15" w:type="dxa"/>
            <w:right w:w="15" w:type="dxa"/>
          </w:tblCellMar>
        </w:tblPrEx>
        <w:trPr>
          <w:tblCellSpacing w:w="7" w:type="dxa"/>
        </w:trPr>
        <w:tc>
          <w:tcPr>
            <w:tcW w:w="764"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     </w:t>
            </w:r>
          </w:p>
        </w:tc>
        <w:tc>
          <w:tcPr>
            <w:tcW w:w="7487"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1.收费标准：详见电子平台缴费作业中的服务费缴纳；</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xml:space="preserve">2.缴纳方式：按系统生成的银行子账号信息进行缴纳，缴费完成可直接下载中标通知书，然后到包钢招标中心301房间盖章。 </w:t>
            </w:r>
          </w:p>
        </w:tc>
        <w:tc>
          <w:tcPr>
            <w:tcW w:w="88" w:type="dxa"/>
            <w:gridSpan w:val="3"/>
            <w:shd w:val="clear"/>
            <w:vAlign w:val="center"/>
          </w:tcPr>
          <w:p>
            <w:pPr>
              <w:rPr>
                <w:rFonts w:hint="eastAsia" w:ascii="宋体"/>
                <w:sz w:val="21"/>
                <w:szCs w:val="21"/>
              </w:rPr>
            </w:pPr>
          </w:p>
        </w:tc>
      </w:tr>
      <w:tr>
        <w:tblPrEx>
          <w:tblLayout w:type="fixed"/>
          <w:tblCellMar>
            <w:top w:w="15" w:type="dxa"/>
            <w:left w:w="15" w:type="dxa"/>
            <w:bottom w:w="15" w:type="dxa"/>
            <w:right w:w="15" w:type="dxa"/>
          </w:tblCellMar>
        </w:tblPrEx>
        <w:trPr>
          <w:tblCellSpacing w:w="7" w:type="dxa"/>
        </w:trPr>
        <w:tc>
          <w:tcPr>
            <w:tcW w:w="8263" w:type="dxa"/>
            <w:gridSpan w:val="2"/>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9.联系方式 </w:t>
            </w:r>
          </w:p>
        </w:tc>
        <w:tc>
          <w:tcPr>
            <w:tcW w:w="88" w:type="dxa"/>
            <w:gridSpan w:val="3"/>
            <w:shd w:val="clear"/>
            <w:vAlign w:val="center"/>
          </w:tcPr>
          <w:p>
            <w:pPr>
              <w:rPr>
                <w:rFonts w:hint="eastAsia" w:ascii="宋体"/>
                <w:sz w:val="21"/>
                <w:szCs w:val="21"/>
              </w:rPr>
            </w:pPr>
          </w:p>
        </w:tc>
      </w:tr>
      <w:tr>
        <w:tblPrEx>
          <w:tblLayout w:type="fixed"/>
          <w:tblCellMar>
            <w:top w:w="15" w:type="dxa"/>
            <w:left w:w="15" w:type="dxa"/>
            <w:bottom w:w="15" w:type="dxa"/>
            <w:right w:w="15" w:type="dxa"/>
          </w:tblCellMar>
        </w:tblPrEx>
        <w:trPr>
          <w:tblCellSpacing w:w="7" w:type="dxa"/>
        </w:trPr>
        <w:tc>
          <w:tcPr>
            <w:tcW w:w="764"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     </w:t>
            </w:r>
          </w:p>
        </w:tc>
        <w:tc>
          <w:tcPr>
            <w:tcW w:w="7487"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采购人：包头瑞鑫稀土金属材料股份有限公司</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xml:space="preserve">地 址：内蒙古自治区包头市昆都仑区 </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联 系 人：侯磊</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xml:space="preserve">  联系电话： 0472-5179219 </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招标机构：包头市必得招标有限公司</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地 址：内蒙古包头市昆区河西工业区（钢铁大街与一号路交叉路口北侧200米）</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联 系 人：张博（（购买文件、退还保证金、领取通知书）） 0472-2189621 （若电话无人应答，请发送邮件至bgzbzx01@188.com）</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xml:space="preserve">陈慧芳（项目咨询） 0472-2189632 电子邮件：bgzbzxchf@163.com </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杨 超（ERP网站操作咨询） 18686118645）</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热线电话：0472-2183777</w:t>
            </w:r>
          </w:p>
        </w:tc>
        <w:tc>
          <w:tcPr>
            <w:tcW w:w="88" w:type="dxa"/>
            <w:gridSpan w:val="3"/>
            <w:shd w:val="clear"/>
            <w:vAlign w:val="center"/>
          </w:tcPr>
          <w:p>
            <w:pPr>
              <w:rPr>
                <w:rFonts w:hint="eastAsia" w:ascii="宋体"/>
                <w:sz w:val="21"/>
                <w:szCs w:val="21"/>
              </w:rPr>
            </w:pPr>
          </w:p>
        </w:tc>
      </w:tr>
      <w:tr>
        <w:tblPrEx>
          <w:tblLayout w:type="fixed"/>
          <w:tblCellMar>
            <w:top w:w="15" w:type="dxa"/>
            <w:left w:w="15" w:type="dxa"/>
            <w:bottom w:w="15" w:type="dxa"/>
            <w:right w:w="15" w:type="dxa"/>
          </w:tblCellMar>
        </w:tblPrEx>
        <w:trPr>
          <w:tblCellSpacing w:w="7" w:type="dxa"/>
        </w:trPr>
        <w:tc>
          <w:tcPr>
            <w:tcW w:w="8263" w:type="dxa"/>
            <w:gridSpan w:val="2"/>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10.其他与本次采购有关的要求 </w:t>
            </w:r>
          </w:p>
        </w:tc>
        <w:tc>
          <w:tcPr>
            <w:tcW w:w="88" w:type="dxa"/>
            <w:gridSpan w:val="3"/>
            <w:shd w:val="clear"/>
            <w:vAlign w:val="center"/>
          </w:tcPr>
          <w:p>
            <w:pPr>
              <w:rPr>
                <w:rFonts w:hint="eastAsia" w:ascii="宋体"/>
                <w:sz w:val="21"/>
                <w:szCs w:val="21"/>
              </w:rPr>
            </w:pPr>
          </w:p>
        </w:tc>
      </w:tr>
      <w:tr>
        <w:tblPrEx>
          <w:tblLayout w:type="fixed"/>
          <w:tblCellMar>
            <w:top w:w="15" w:type="dxa"/>
            <w:left w:w="15" w:type="dxa"/>
            <w:bottom w:w="15" w:type="dxa"/>
            <w:right w:w="15" w:type="dxa"/>
          </w:tblCellMar>
        </w:tblPrEx>
        <w:trPr>
          <w:tblCellSpacing w:w="7" w:type="dxa"/>
        </w:trPr>
        <w:tc>
          <w:tcPr>
            <w:tcW w:w="764"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     </w:t>
            </w:r>
          </w:p>
        </w:tc>
        <w:tc>
          <w:tcPr>
            <w:tcW w:w="7487"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石墨槽体技术文件本采购技术说明根据石墨槽体以包头瑞鑫稀土金属材料股份有限公司使用要求制定，主要包括有关数量、主要技术要求、包装、运输、检验方法、验收规则等方面内容，具体内容如下: 1．石墨槽体的用途及数量 本说明所涉及的电解石墨槽体加工主要用于包头瑞鑫稀土金属材料股份有限公司电解车间，具体加工数量：10套。 2．电解石墨槽体加工的技术要求： (1)加工要求：供方严格按图纸要求生产加工，保证期限和产品质量,规格尺寸现场勘查，投标方需对规格、尺寸保密。 (2)质量要求：槽体有缺陷或使用时炸裂损坏造成的损失由供方按市场价赔偿。（3）工艺：一浸两焙高功率细颗粒石墨化电阻率：＜0.8μΩ·m； 体密度：＞1.6g／cm 抗压强度：3－8／Mpa； 抗弯强度：3－8／Mpa 灰分：＜0.3％； Na膨胀率：0.05－0.15％ 3．石墨槽体的包装、运输、装卸（1）产品采用：以双方商定的便于装卸的方式运输为准。（2）运输和装卸过程中防护好产品，如因运输和装卸造成的损失由供方负责。（3）双方在加工、运输、使用过程中如遇特殊情况影响产品交接，需提前3天告知对方，以利于双方应对。 4．检验方法（1）电解石墨槽体外观质量采用目测法检查。（2）电解石墨槽规格尺寸用卷尺、角尺等工具测量。 </w:t>
            </w:r>
          </w:p>
        </w:tc>
        <w:tc>
          <w:tcPr>
            <w:tcW w:w="88" w:type="dxa"/>
            <w:gridSpan w:val="3"/>
            <w:shd w:val="clear"/>
            <w:vAlign w:val="center"/>
          </w:tcPr>
          <w:p>
            <w:pPr>
              <w:rPr>
                <w:rFonts w:hint="eastAsia" w:ascii="宋体"/>
                <w:sz w:val="21"/>
                <w:szCs w:val="21"/>
              </w:rPr>
            </w:pPr>
          </w:p>
        </w:tc>
      </w:tr>
      <w:tr>
        <w:tblPrEx>
          <w:tblLayout w:type="fixed"/>
          <w:tblCellMar>
            <w:top w:w="15" w:type="dxa"/>
            <w:left w:w="15" w:type="dxa"/>
            <w:bottom w:w="15" w:type="dxa"/>
            <w:right w:w="15" w:type="dxa"/>
          </w:tblCellMar>
        </w:tblPrEx>
        <w:trPr>
          <w:tblCellSpacing w:w="7" w:type="dxa"/>
        </w:trPr>
        <w:tc>
          <w:tcPr>
            <w:tcW w:w="8263" w:type="dxa"/>
            <w:gridSpan w:val="2"/>
            <w:shd w:val="clear"/>
            <w:vAlign w:val="center"/>
          </w:tcPr>
          <w:p>
            <w:pPr>
              <w:keepNext w:val="0"/>
              <w:keepLines w:val="0"/>
              <w:widowControl/>
              <w:suppressLineNumbers w:val="0"/>
              <w:jc w:val="right"/>
              <w:rPr>
                <w:sz w:val="18"/>
                <w:szCs w:val="21"/>
              </w:rPr>
            </w:pPr>
            <w:r>
              <w:rPr>
                <w:rFonts w:ascii="宋体" w:hAnsi="宋体" w:eastAsia="宋体" w:cs="宋体"/>
                <w:kern w:val="0"/>
                <w:sz w:val="21"/>
                <w:szCs w:val="21"/>
                <w:lang w:val="en-US" w:eastAsia="zh-CN" w:bidi="ar"/>
              </w:rPr>
              <w:t xml:space="preserve">包头市必得招标有限公司 </w:t>
            </w:r>
          </w:p>
        </w:tc>
        <w:tc>
          <w:tcPr>
            <w:tcW w:w="88" w:type="dxa"/>
            <w:gridSpan w:val="3"/>
            <w:shd w:val="clear"/>
            <w:vAlign w:val="center"/>
          </w:tcPr>
          <w:p>
            <w:pPr>
              <w:rPr>
                <w:rFonts w:hint="eastAsia" w:ascii="宋体"/>
                <w:sz w:val="21"/>
                <w:szCs w:val="21"/>
              </w:rPr>
            </w:pPr>
          </w:p>
        </w:tc>
      </w:tr>
      <w:tr>
        <w:tblPrEx>
          <w:tblLayout w:type="fixed"/>
          <w:tblCellMar>
            <w:top w:w="15" w:type="dxa"/>
            <w:left w:w="15" w:type="dxa"/>
            <w:bottom w:w="15" w:type="dxa"/>
            <w:right w:w="15" w:type="dxa"/>
          </w:tblCellMar>
        </w:tblPrEx>
        <w:trPr>
          <w:tblCellSpacing w:w="7" w:type="dxa"/>
        </w:trPr>
        <w:tc>
          <w:tcPr>
            <w:tcW w:w="764" w:type="dxa"/>
            <w:shd w:val="clear"/>
            <w:vAlign w:val="center"/>
          </w:tcPr>
          <w:p>
            <w:pPr>
              <w:keepNext w:val="0"/>
              <w:keepLines w:val="0"/>
              <w:widowControl/>
              <w:suppressLineNumbers w:val="0"/>
              <w:jc w:val="left"/>
              <w:rPr>
                <w:sz w:val="18"/>
                <w:szCs w:val="21"/>
              </w:rPr>
            </w:pPr>
            <w:r>
              <w:rPr>
                <w:rFonts w:ascii="宋体" w:hAnsi="宋体" w:eastAsia="宋体" w:cs="宋体"/>
                <w:kern w:val="0"/>
                <w:sz w:val="21"/>
                <w:szCs w:val="21"/>
                <w:lang w:val="en-US" w:eastAsia="zh-CN" w:bidi="ar"/>
              </w:rPr>
              <w:t xml:space="preserve">     </w:t>
            </w:r>
          </w:p>
        </w:tc>
        <w:tc>
          <w:tcPr>
            <w:tcW w:w="7487" w:type="dxa"/>
            <w:shd w:val="clear"/>
            <w:vAlign w:val="center"/>
          </w:tcPr>
          <w:p>
            <w:pPr>
              <w:jc w:val="right"/>
              <w:rPr>
                <w:rFonts w:hint="eastAsia" w:ascii="宋体"/>
                <w:sz w:val="21"/>
                <w:szCs w:val="21"/>
              </w:rPr>
            </w:pPr>
          </w:p>
        </w:tc>
        <w:tc>
          <w:tcPr>
            <w:tcW w:w="88" w:type="dxa"/>
            <w:gridSpan w:val="3"/>
            <w:shd w:val="clear"/>
            <w:vAlign w:val="center"/>
          </w:tcPr>
          <w:p>
            <w:pPr>
              <w:rPr>
                <w:rFonts w:hint="eastAsia" w:ascii="宋体"/>
                <w:sz w:val="21"/>
                <w:szCs w:val="21"/>
              </w:rPr>
            </w:pPr>
          </w:p>
        </w:tc>
      </w:tr>
    </w:tbl>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025" o:spt="201" type="#_x0000_t201" style="height:18pt;width:72pt;" o:ole="t" filled="f" o:preferrelative="t" stroked="f" coordsize="21600,21600">
            <v:path/>
            <v:fill on="f" focussize="0,0"/>
            <v:stroke on="f"/>
            <v:imagedata r:id="rId5" o:title=""/>
            <o:lock v:ext="edit" aspectratio="t"/>
            <w10:wrap type="none"/>
            <w10:anchorlock/>
          </v:shape>
          <w:control r:id="rId4" w:name="Control 1" w:shapeid="_x0000_i1025"/>
        </w:object>
      </w:r>
    </w:p>
    <w:p>
      <w:pPr>
        <w:pStyle w:val="7"/>
      </w:pPr>
      <w:r>
        <w:t>窗体底端</w:t>
      </w:r>
    </w:p>
    <w:p>
      <w:pPr>
        <w:jc w:val="center"/>
        <w:rPr>
          <w:rFonts w:hint="eastAsia" w:ascii="宋体" w:hAnsi="宋体" w:eastAsia="宋体" w:cs="宋体"/>
          <w:b/>
          <w:bCs/>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121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0000FF"/>
      <w:u w:val="none"/>
    </w:rPr>
  </w:style>
  <w:style w:type="character" w:styleId="5">
    <w:name w:val="Hyperlink"/>
    <w:basedOn w:val="3"/>
    <w:uiPriority w:val="0"/>
    <w:rPr>
      <w:color w:val="0000FF"/>
      <w:u w:val="none"/>
    </w:rPr>
  </w:style>
  <w:style w:type="paragraph" w:styleId="6">
    <w:name w:val=""/>
    <w:basedOn w:val="1"/>
    <w:next w:val="1"/>
    <w:uiPriority w:val="0"/>
    <w:pPr>
      <w:pBdr>
        <w:bottom w:val="single" w:color="auto" w:sz="6" w:space="1"/>
      </w:pBdr>
      <w:jc w:val="center"/>
    </w:pPr>
    <w:rPr>
      <w:rFonts w:ascii="Arial" w:eastAsia="宋体"/>
      <w:vanish/>
      <w:sz w:val="16"/>
    </w:rPr>
  </w:style>
  <w:style w:type="paragraph" w:styleId="7">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mj</dc:creator>
  <cp:lastModifiedBy>橘子橙子柚子</cp:lastModifiedBy>
  <dcterms:modified xsi:type="dcterms:W3CDTF">2019-04-15T09:42:06Z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